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Payment notice preparation examples</w:t>
      </w:r>
    </w:p>
    <w:p>
      <w:r>
        <w:rPr>
          <w:b/>
        </w:rPr>
        <w:t>Working template</w:t>
      </w:r>
    </w:p>
    <w:p>
      <w:r>
        <w:t>Identify which notice mechanism applies before using either illustration. A prior compliant application may affect whether another default notice can be given.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Payer payment notice illustration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record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Parties / contract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Cycle / due date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Issue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Sum considered due at due date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Calculation basis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Evidence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Payee default-notice preparation illustration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record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Separate scenario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Initial check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Proposed sum and basis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Timing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Draft and service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https://www.quantsurv.com/library/tools/payment-notice-preparation-examples</w:t>
      </w:r>
    </w:p>
    <w:p>
      <w:r>
        <w:rPr>
          <w:sz w:val="18"/>
        </w:rPr>
        <w:t>Construction Act payment notice provisions, as inserted in 2009: https://www.legislation.gov.uk/ukpga/2009/20/pdfs/ukpga_20090020_en.pdf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notice preparation examples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