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Early warning example</w:t>
      </w:r>
    </w:p>
    <w:p>
      <w:r>
        <w:rPr>
          <w:b/>
        </w:rPr>
        <w:t>Working template</w:t>
      </w:r>
    </w:p>
    <w:p>
      <w:r>
        <w:t>Use the communication requirements in your actual NEC contract. An early warning manages risk; it is not a compensation-event notification.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Project and contract: [actual NEC form, edition, options and amendments]. From [contractual party] to [required recipient] by [agreed route].</w:t>
      </w:r>
    </w:p>
    <w:p>
      <w:r>
        <w:t>The identified risk is [facts and awareness date]. It may affect [cost, completion, performance or other relevant matter] because [explanation].</w:t>
      </w:r>
    </w:p>
    <w:p>
      <w:r>
        <w:t>We propose [mitigation/meeting/action]. Supporting records: [references]. Manage any compensation-event notification separately.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https://www.quantsurv.com/library/tools/early-warning-example</w:t>
      </w:r>
    </w:p>
    <w:p>
      <w:r>
        <w:rPr>
          <w:sz w:val="18"/>
        </w:rPr>
        <w:t>NEC: notifying compensation events: https://www.neccontract.com/news/clause-61-notifying-compensation-events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warning example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